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bookmarkStart w:id="0" w:name="_GoBack"/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农业农村局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  <w:bookmarkEnd w:id="0"/>
    </w:p>
    <w:p w14:paraId="257D9EB6"/>
    <w:p w14:paraId="2BE10005">
      <w:pPr>
        <w:overflowPunct w:val="0"/>
        <w:spacing w:line="600" w:lineRule="exact"/>
        <w:ind w:firstLine="643" w:firstLineChars="200"/>
        <w:rPr>
          <w:rFonts w:ascii="Times New Roman" w:hAnsi="Times New Roman" w:eastAsia="楷体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（一）绩效评价工作开展情况。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组织对2024年度本部门（单位）整体支出开展绩效自评，涉及项目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6529.9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万元。其中，一般公共预算项目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108.08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万元，占一般公共预算支出总额的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1.66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%；政府性基金预算项目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6421.84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万元，占政府性基金预算支出总额的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98.34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strike w:val="0"/>
          <w:dstrike w:val="0"/>
          <w:kern w:val="0"/>
          <w:sz w:val="32"/>
          <w:szCs w:val="32"/>
          <w:highlight w:val="none"/>
        </w:rPr>
        <w:t>；国有资本经营预算项目</w:t>
      </w:r>
      <w:r>
        <w:rPr>
          <w:rFonts w:hint="eastAsia" w:ascii="Times New Roman" w:hAnsi="Times New Roman" w:eastAsia="仿宋_GB2312" w:cs="Times New Roman"/>
          <w:strike w:val="0"/>
          <w:dstrike w:val="0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 w:cs="Times New Roman"/>
          <w:strike w:val="0"/>
          <w:dstrike w:val="0"/>
          <w:kern w:val="0"/>
          <w:sz w:val="32"/>
          <w:szCs w:val="32"/>
          <w:highlight w:val="none"/>
        </w:rPr>
        <w:t xml:space="preserve"> 个</w:t>
      </w:r>
      <w:r>
        <w:rPr>
          <w:rFonts w:hint="eastAsia" w:ascii="Times New Roman" w:hAnsi="Times New Roman" w:eastAsia="仿宋_GB2312" w:cs="Times New Roman"/>
          <w:strike w:val="0"/>
          <w:dstrike w:val="0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 w:cs="Times New Roman"/>
          <w:strike w:val="0"/>
          <w:dstrike w:val="0"/>
          <w:kern w:val="0"/>
          <w:sz w:val="32"/>
          <w:szCs w:val="32"/>
          <w:highlight w:val="none"/>
        </w:rPr>
        <w:t xml:space="preserve"> 万元，占国有资本经营预算支出总额的</w:t>
      </w:r>
      <w:r>
        <w:rPr>
          <w:rFonts w:hint="eastAsia" w:ascii="Times New Roman" w:hAnsi="Times New Roman" w:eastAsia="仿宋_GB2312" w:cs="Times New Roman"/>
          <w:strike w:val="0"/>
          <w:dstrike w:val="0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 w:cs="Times New Roman"/>
          <w:strike w:val="0"/>
          <w:dstrike w:val="0"/>
          <w:kern w:val="0"/>
          <w:sz w:val="32"/>
          <w:szCs w:val="32"/>
          <w:highlight w:val="none"/>
        </w:rPr>
        <w:t>%；社会保险基金预算项目</w:t>
      </w:r>
      <w:r>
        <w:rPr>
          <w:rFonts w:hint="eastAsia" w:ascii="Times New Roman" w:hAnsi="Times New Roman" w:eastAsia="仿宋_GB2312" w:cs="Times New Roman"/>
          <w:strike w:val="0"/>
          <w:dstrike w:val="0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 w:cs="Times New Roman"/>
          <w:strike w:val="0"/>
          <w:dstrike w:val="0"/>
          <w:kern w:val="0"/>
          <w:sz w:val="32"/>
          <w:szCs w:val="32"/>
          <w:highlight w:val="none"/>
        </w:rPr>
        <w:t>个</w:t>
      </w:r>
      <w:r>
        <w:rPr>
          <w:rFonts w:hint="eastAsia" w:ascii="Times New Roman" w:hAnsi="Times New Roman" w:eastAsia="仿宋_GB2312" w:cs="Times New Roman"/>
          <w:strike w:val="0"/>
          <w:dstrike w:val="0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 w:cs="Times New Roman"/>
          <w:strike w:val="0"/>
          <w:dstrike w:val="0"/>
          <w:kern w:val="0"/>
          <w:sz w:val="32"/>
          <w:szCs w:val="32"/>
          <w:highlight w:val="none"/>
        </w:rPr>
        <w:t>万元，占社会保险基金预算支出总额的</w:t>
      </w:r>
      <w:r>
        <w:rPr>
          <w:rFonts w:hint="eastAsia" w:ascii="Times New Roman" w:hAnsi="Times New Roman" w:eastAsia="仿宋_GB2312" w:cs="Times New Roman"/>
          <w:strike w:val="0"/>
          <w:dstrike w:val="0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 w:cs="Times New Roman"/>
          <w:strike w:val="0"/>
          <w:dstrike w:val="0"/>
          <w:kern w:val="0"/>
          <w:sz w:val="32"/>
          <w:szCs w:val="32"/>
          <w:highlight w:val="none"/>
        </w:rPr>
        <w:t>%</w:t>
      </w:r>
      <w:r>
        <w:rPr>
          <w:rFonts w:ascii="Times New Roman" w:hAnsi="Times New Roman" w:eastAsia="仿宋_GB2312" w:cs="Times New Roman"/>
          <w:strike w:val="0"/>
          <w:kern w:val="0"/>
          <w:sz w:val="32"/>
          <w:szCs w:val="32"/>
          <w:highlight w:val="none"/>
        </w:rPr>
        <w:t>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二是部门评价开展情况。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组织对所属单位2024年度“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新晃侗族自治县农业农村局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、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新晃侗族自治县畜牧水产事务中心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、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新晃侗族自治县农村经营服务站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个项目开展了部门评价，涉及一般公共预算支出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9582.6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万元，政府性基金预算支出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9582.6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万元，国有资本经营预算支出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万元，社会保险基金预算支出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万元。三是事前绩效评估开展情况。组织对2024年度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个新增重大政策和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个重大项目开展事前绩效评估，共涉及资金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4EE9E1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3" w:firstLineChars="200"/>
        <w:jc w:val="left"/>
        <w:rPr>
          <w:rFonts w:hint="eastAsia" w:ascii="Times New Roman" w:hAnsi="Times New Roman" w:eastAsia="CESI仿宋-GB2312"/>
          <w:sz w:val="32"/>
          <w:szCs w:val="32"/>
          <w:highlight w:val="none"/>
          <w:lang w:val="en-US" w:eastAsia="zh-CN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（二）绩效评价结果。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2024年度本部门（单位）整体支出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9582.616616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17291.44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180.46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，绩效自评得分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94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，评价等级为</w:t>
      </w:r>
      <w:r>
        <w:rPr>
          <w:rFonts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</w:t>
      </w:r>
      <w:r>
        <w:rPr>
          <w:rFonts w:ascii="Times New Roman" w:hAnsi="Times New Roman" w:eastAsia="仿宋_GB2312" w:cs="Times New Roman"/>
          <w:sz w:val="32"/>
          <w:szCs w:val="32"/>
        </w:rPr>
        <w:t>”。绩效目标完成情况：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完成粮食生产稳定增长、做好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巩固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脱贫攻坚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成果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和乡村振兴衔接工作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加快发展乡村产业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持续推进农业基础设施建设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推进农业资源保护与利用、抓好农产品质量安全监管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第三次全国土壤普查 、受污染耕地种植结构调整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强化农业科技推广应用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积极推进农业综合行政执法等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。一、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成本指标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。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经济成本指标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：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严管区退出水稻种植补贴投入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val="en-US" w:eastAsia="zh-CN"/>
        </w:rPr>
        <w:t>70.3万元。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社会成本指标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：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对社会发展无负面影响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。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生态环境成本指标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：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对自然生态环境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无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负面影响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。二、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产出指标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。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数量指标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：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农产品质量安全快速检测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大于等于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7100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批次。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农产品定性定量监测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大于等于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val="en-US" w:eastAsia="zh-CN"/>
        </w:rPr>
        <w:t>300批次。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完成水稻示范片4个，面积1000亩。完成578个表层样点采集并流转至第三方公司进行检测化验 、完成578个表层样点分析化验且数据真实可靠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严管区2343.275亩全部退出水稻种植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。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完成高标准农田年度建设任务 1.93万亩。质量指标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：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各个项目验收全部合格。时效指标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：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各项项目及时完成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。三、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效益指标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。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经济效益指标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：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稻谷种植收益比上年增加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。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社会效益指标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val="en-US" w:eastAsia="zh-CN"/>
        </w:rPr>
        <w:t>: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社会生产力水平不断提高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。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生态效益指标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：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通过退出水稻种植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逐年对严管区进行治理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。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耕地抛荒面积低于上年度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。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可持续影响指标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：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水资源利用率逐步提升。通过退出水稻种植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逐年对严管区进行治理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逐步改良我县农业生产环境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。四、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满意度指标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：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社会公众满意度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大于等于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val="en-US" w:eastAsia="zh-CN"/>
        </w:rPr>
        <w:t>90%。</w:t>
      </w:r>
    </w:p>
    <w:p w14:paraId="54F2D0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jc w:val="left"/>
        <w:rPr>
          <w:rFonts w:hint="eastAsia" w:ascii="Times New Roman" w:hAnsi="Times New Roman" w:eastAsia="CESI仿宋-GB2312"/>
          <w:sz w:val="32"/>
          <w:szCs w:val="32"/>
          <w:highlight w:val="none"/>
        </w:rPr>
      </w:pPr>
      <w:r>
        <w:rPr>
          <w:rFonts w:ascii="Times New Roman" w:hAnsi="Times New Roman" w:eastAsia="仿宋_GB2312" w:cs="Times New Roman"/>
          <w:sz w:val="32"/>
          <w:szCs w:val="32"/>
        </w:rPr>
        <w:t>发现的主要问题及原因：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除基本支出外，单位每年要负担一些财政无预算的刚性支出，如</w:t>
      </w:r>
      <w:r>
        <w:rPr>
          <w:rFonts w:hint="eastAsia" w:ascii="Times New Roman" w:hAnsi="Times New Roman" w:eastAsia="CESI仿宋-GB2312"/>
          <w:sz w:val="32"/>
          <w:szCs w:val="32"/>
          <w:highlight w:val="none"/>
          <w:lang w:eastAsia="zh-CN"/>
        </w:rPr>
        <w:t>项目运行</w:t>
      </w:r>
      <w:r>
        <w:rPr>
          <w:rFonts w:hint="eastAsia" w:ascii="Times New Roman" w:hAnsi="Times New Roman" w:eastAsia="CESI仿宋-GB2312"/>
          <w:sz w:val="32"/>
          <w:szCs w:val="32"/>
          <w:highlight w:val="none"/>
        </w:rPr>
        <w:t>工作支出没有预算公用经费等，资金缺口大，单位只能靠挤占基本支出和项目经费，单位运转困难。</w:t>
      </w:r>
    </w:p>
    <w:p w14:paraId="482EC5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3" w:firstLineChars="200"/>
        <w:jc w:val="left"/>
        <w:rPr>
          <w:rFonts w:hint="default"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二是部门评价结果</w:t>
      </w:r>
      <w:r>
        <w:rPr>
          <w:rFonts w:ascii="Times New Roman" w:hAnsi="Times New Roman" w:eastAsia="仿宋_GB2312" w:cs="Times New Roman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湖南省怀化市新晃侗族自治县高标准农田建设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项目全年预算数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3765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万元，执行数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1035.6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万元，完成预算的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27.51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部门评价得分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96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分，评价等级为“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优秀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”。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稻谷目标价格补贴（上级资金）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项目全年预算数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478.83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万元，执行数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451.84926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万元，完成预算的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94.36%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部门评价得分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99.75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分，评价等级为“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优秀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”。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第三次全国土壤普查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项目全年预算数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452.65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万元，执行数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90.796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万元，完成预算的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35.94%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部门评价得分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95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分，评价等级为“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优秀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”。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耕地地力保护补贴（上级资金）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全年预算数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2844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执行数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1969.6371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成预算的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69.25%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部门评价得分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96.9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分，评价等级为“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优秀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。离退休人员生活补助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全年预算数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81.9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万元执行数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81.9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成预算的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部门评价得分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99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分，评价等级为“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优秀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。粮食生产工作及奖励资金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全年预算数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万元执行数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成预算的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部门评价得分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分，评价等级为“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优秀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。农产品检测机构运转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全年预算数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36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万元执行数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成预算的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55.55%，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部门评价得分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95.6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分，评价等级为“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优秀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其他人员经费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全年预算数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26.185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万元执行数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20.310276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成预算的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77.58%，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部门评价得分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98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分，评价等级为“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优秀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受污染耕地退出水稻种植补贴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全年预算数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70.3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万元执行数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61.69125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成预算的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87.75%，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部门评价得分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分，评价等级为“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优秀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水稻生产示范片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全年预算数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17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万元执行数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17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成预算的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部门评价得分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分，评价等级为“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优秀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。乡镇农机购置补贴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全年预算数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11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万元执行数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成预算的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0%，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部门评价得分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98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分，评价等级为“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优秀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乡镇农机购置补贴（上级资金）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全年预算数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435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万元执行数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250.717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成预算的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57.64%，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部门评价得分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97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分，评价等级为“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优秀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专项业务费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全年预算数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59.69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万元执行数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59.69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成预算的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部门评价得分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分，评价等级为“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优秀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。2024年精准防贫保险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全年预算数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250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万元执行数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212.298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成预算的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84.92%，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部门评价得分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分，评价等级为“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优秀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。2024年乡村振兴工作经费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全年预算数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200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万元执行数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万元，执行数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200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成预算的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部门评价得分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分，评价等级为“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优秀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0C3D2F9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3" w:firstLineChars="200"/>
        <w:rPr>
          <w:rFonts w:hint="eastAsia" w:ascii="Times New Roman" w:hAnsi="Times New Roman" w:eastAsia="CESI仿宋-GB2312" w:cs="宋体"/>
          <w:kern w:val="0"/>
          <w:sz w:val="32"/>
          <w:szCs w:val="32"/>
          <w:highlight w:val="none"/>
        </w:rPr>
      </w:pPr>
      <w:r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</w:rPr>
        <w:t>（三）评价结果应用情况。</w:t>
      </w:r>
      <w:r>
        <w:rPr>
          <w:rFonts w:hint="eastAsia" w:ascii="Times New Roman" w:hAnsi="Times New Roman" w:eastAsia="CESI仿宋-GB2312" w:cs="宋体"/>
          <w:kern w:val="0"/>
          <w:sz w:val="32"/>
          <w:szCs w:val="32"/>
          <w:highlight w:val="none"/>
        </w:rPr>
        <w:t>1.科学合理编制预算，严格执行预算 。加强预算编制的前瞻性，按政策规定及本部门的发展规划，结合上一年度预算执行情况和本年度预算收支变化因素，科学、合理编制本年预算草案，避免项目支出与基本支出划分不准或预算支出与实际执行出现偏差，加强预算支出的审核、跟踪及预算执行情况分析，提高预算编制严谨性和可控性。</w:t>
      </w:r>
    </w:p>
    <w:p w14:paraId="5E55C8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jc w:val="left"/>
        <w:rPr>
          <w:rFonts w:hint="eastAsia" w:ascii="Times New Roman" w:hAnsi="Times New Roman" w:eastAsia="CESI仿宋-GB2312"/>
          <w:sz w:val="32"/>
          <w:szCs w:val="32"/>
          <w:highlight w:val="none"/>
        </w:rPr>
      </w:pPr>
      <w:r>
        <w:rPr>
          <w:rFonts w:hint="eastAsia" w:ascii="Times New Roman" w:hAnsi="Times New Roman" w:eastAsia="CESI仿宋-GB2312" w:cs="宋体"/>
          <w:kern w:val="0"/>
          <w:sz w:val="32"/>
          <w:szCs w:val="32"/>
          <w:highlight w:val="none"/>
        </w:rPr>
        <w:t>2.规范账务处理，提高财务信息质量。严格按照《会计法》、《行政单位会计制度》、《行政单位财务规则》等规定执行财务核算，并结合实际情况，完整、准确地披露相关信息，做到决算与预算相衔接。</w:t>
      </w:r>
    </w:p>
    <w:p w14:paraId="79E83430">
      <w:pPr>
        <w:pStyle w:val="8"/>
        <w:jc w:val="both"/>
        <w:rPr>
          <w:rFonts w:ascii="Times New Roman" w:hAnsi="Times New Roman" w:cs="Times New Roman"/>
          <w:sz w:val="72"/>
          <w:szCs w:val="72"/>
        </w:rPr>
      </w:pPr>
    </w:p>
    <w:p w14:paraId="519298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0010101010101"/>
    <w:charset w:val="86"/>
    <w:family w:val="script"/>
    <w:pitch w:val="default"/>
    <w:sig w:usb0="00000000" w:usb1="00000000" w:usb2="00000000" w:usb3="00000000" w:csb0="00040003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00000000"/>
    <w:rsid w:val="0AA7587A"/>
    <w:rsid w:val="0D9D14D7"/>
    <w:rsid w:val="24D15194"/>
    <w:rsid w:val="2D834748"/>
    <w:rsid w:val="489A18C8"/>
    <w:rsid w:val="506374B2"/>
    <w:rsid w:val="727342FE"/>
    <w:rsid w:val="7BB2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line="760" w:lineRule="exact"/>
      <w:ind w:firstLine="0" w:firstLineChars="0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4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5">
    <w:name w:val="footnote text"/>
    <w:basedOn w:val="1"/>
    <w:next w:val="4"/>
    <w:semiHidden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1712</Words>
  <Characters>1985</Characters>
  <Lines>0</Lines>
  <Paragraphs>0</Paragraphs>
  <TotalTime>0</TotalTime>
  <ScaleCrop>false</ScaleCrop>
  <LinksUpToDate>false</LinksUpToDate>
  <CharactersWithSpaces>1991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不枉.</cp:lastModifiedBy>
  <dcterms:modified xsi:type="dcterms:W3CDTF">2025-09-28T00:47:45Z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7AFAAF09C6AE4905BC79E260D2722341_13</vt:lpwstr>
  </property>
  <property fmtid="{D5CDD505-2E9C-101B-9397-08002B2CF9AE}" pid="4" name="KSOTemplateDocerSaveRecord">
    <vt:lpwstr>eyJoZGlkIjoiYjk0MjZlOWM0Mjg1YTUxY2E1NDhjOWViOGExMjk3NmQiLCJ1c2VySWQiOiI3NjIxNzQ2ODQifQ==</vt:lpwstr>
  </property>
</Properties>
</file>